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60C9AA" w14:textId="77777777" w:rsidR="00A0457C" w:rsidRPr="00805C0F" w:rsidRDefault="00A0457C">
      <w:pPr>
        <w:rPr>
          <w:sz w:val="22"/>
          <w:szCs w:val="22"/>
        </w:rPr>
      </w:pPr>
      <w:bookmarkStart w:id="0" w:name="QuickMark"/>
      <w:bookmarkEnd w:id="0"/>
    </w:p>
    <w:tbl>
      <w:tblPr>
        <w:tblW w:w="0" w:type="auto"/>
        <w:tblInd w:w="120" w:type="dxa"/>
        <w:tblLayout w:type="fixed"/>
        <w:tblCellMar>
          <w:left w:w="120" w:type="dxa"/>
          <w:right w:w="120" w:type="dxa"/>
        </w:tblCellMar>
        <w:tblLook w:val="0000" w:firstRow="0" w:lastRow="0" w:firstColumn="0" w:lastColumn="0" w:noHBand="0" w:noVBand="0"/>
      </w:tblPr>
      <w:tblGrid>
        <w:gridCol w:w="5580"/>
        <w:gridCol w:w="5220"/>
      </w:tblGrid>
      <w:tr w:rsidR="00A0457C" w:rsidRPr="00805C0F" w14:paraId="652AAB1D" w14:textId="77777777">
        <w:trPr>
          <w:trHeight w:hRule="exact" w:val="3078"/>
        </w:trPr>
        <w:tc>
          <w:tcPr>
            <w:tcW w:w="5580" w:type="dxa"/>
            <w:tcBorders>
              <w:top w:val="single" w:sz="7" w:space="0" w:color="000000"/>
              <w:left w:val="single" w:sz="7" w:space="0" w:color="000000"/>
              <w:bottom w:val="single" w:sz="7" w:space="0" w:color="000000"/>
              <w:right w:val="single" w:sz="7" w:space="0" w:color="000000"/>
            </w:tcBorders>
          </w:tcPr>
          <w:p w14:paraId="302531EF" w14:textId="77777777" w:rsidR="00A0457C" w:rsidRPr="00805C0F" w:rsidRDefault="00A0457C">
            <w:pPr>
              <w:spacing w:line="120" w:lineRule="exact"/>
              <w:rPr>
                <w:sz w:val="22"/>
                <w:szCs w:val="22"/>
              </w:rPr>
            </w:pPr>
          </w:p>
          <w:p w14:paraId="1DF979FD" w14:textId="77777777" w:rsidR="00A0457C" w:rsidRPr="00805C0F" w:rsidRDefault="00A0457C">
            <w:pPr>
              <w:rPr>
                <w:sz w:val="22"/>
                <w:szCs w:val="22"/>
              </w:rPr>
            </w:pPr>
            <w:r w:rsidRPr="00805C0F">
              <w:rPr>
                <w:sz w:val="22"/>
                <w:szCs w:val="22"/>
              </w:rPr>
              <w:t>UNITED STATES BANKRUPTCY COURT</w:t>
            </w:r>
          </w:p>
          <w:p w14:paraId="06C9A26D" w14:textId="77777777" w:rsidR="00A0457C" w:rsidRPr="00805C0F" w:rsidRDefault="00A0457C">
            <w:pPr>
              <w:rPr>
                <w:sz w:val="22"/>
                <w:szCs w:val="22"/>
              </w:rPr>
            </w:pPr>
            <w:r w:rsidRPr="00805C0F">
              <w:rPr>
                <w:sz w:val="22"/>
                <w:szCs w:val="22"/>
              </w:rPr>
              <w:t>DISTRICT OF NEW JERSEY</w:t>
            </w:r>
          </w:p>
          <w:p w14:paraId="0068D5F7" w14:textId="77777777" w:rsidR="00A0457C" w:rsidRPr="00805C0F" w:rsidRDefault="003C5AAB">
            <w:pPr>
              <w:spacing w:line="19" w:lineRule="exact"/>
              <w:rPr>
                <w:sz w:val="22"/>
                <w:szCs w:val="22"/>
              </w:rPr>
            </w:pPr>
            <w:r w:rsidRPr="00805C0F">
              <w:rPr>
                <w:noProof/>
                <w:sz w:val="22"/>
                <w:szCs w:val="22"/>
              </w:rPr>
              <w:pict w14:anchorId="1E2F95E8">
                <v:rect id="_x0000_s1026" style="position:absolute;margin-left:42pt;margin-top:0;width:267pt;height:.95pt;z-index:-251659264;mso-position-horizontal-relative:page;mso-position-vertical-relative:text" o:allowincell="f" fillcolor="black" stroked="f" strokeweight="0">
                  <v:fill color2="black"/>
                  <w10:wrap anchorx="page"/>
                  <w10:anchorlock/>
                </v:rect>
              </w:pict>
            </w:r>
          </w:p>
          <w:p w14:paraId="7FDE7AEC" w14:textId="77777777" w:rsidR="00B265F2" w:rsidRPr="00805C0F" w:rsidRDefault="003C5AAB">
            <w:pPr>
              <w:rPr>
                <w:sz w:val="22"/>
                <w:szCs w:val="22"/>
              </w:rPr>
            </w:pPr>
            <w:r w:rsidRPr="00805C0F">
              <w:rPr>
                <w:sz w:val="22"/>
                <w:szCs w:val="22"/>
              </w:rPr>
              <w:pict w14:anchorId="2296B89B">
                <v:rect id="_x0000_i1025" style="width:0;height:1.5pt" o:hralign="center" o:hrstd="t" o:hr="t" fillcolor="#a0a0a0" stroked="f"/>
              </w:pict>
            </w:r>
          </w:p>
          <w:p w14:paraId="28DC07AC" w14:textId="77777777" w:rsidR="00DB59AA" w:rsidRPr="00805C0F" w:rsidRDefault="00DB59AA" w:rsidP="00DB59AA">
            <w:pPr>
              <w:rPr>
                <w:bCs/>
                <w:sz w:val="18"/>
                <w:szCs w:val="18"/>
              </w:rPr>
            </w:pPr>
            <w:r w:rsidRPr="00805C0F">
              <w:rPr>
                <w:bCs/>
                <w:sz w:val="18"/>
                <w:szCs w:val="18"/>
              </w:rPr>
              <w:t>Caption in Compliance with D.N.J. LBR 9004-1(b)</w:t>
            </w:r>
          </w:p>
          <w:p w14:paraId="151EBDE0" w14:textId="77777777" w:rsidR="00A0457C" w:rsidRPr="00805C0F" w:rsidRDefault="00A0457C">
            <w:pPr>
              <w:rPr>
                <w:sz w:val="22"/>
                <w:szCs w:val="22"/>
              </w:rPr>
            </w:pPr>
          </w:p>
          <w:p w14:paraId="576703E1" w14:textId="77777777" w:rsidR="00A0457C" w:rsidRPr="00805C0F" w:rsidRDefault="00A0457C">
            <w:pPr>
              <w:rPr>
                <w:sz w:val="22"/>
                <w:szCs w:val="22"/>
              </w:rPr>
            </w:pPr>
          </w:p>
          <w:p w14:paraId="260CAFD9" w14:textId="77777777" w:rsidR="00A0457C" w:rsidRPr="00805C0F" w:rsidRDefault="00A0457C">
            <w:pPr>
              <w:spacing w:after="58"/>
              <w:rPr>
                <w:sz w:val="22"/>
                <w:szCs w:val="22"/>
              </w:rPr>
            </w:pPr>
          </w:p>
        </w:tc>
        <w:tc>
          <w:tcPr>
            <w:tcW w:w="5220" w:type="dxa"/>
            <w:tcBorders>
              <w:top w:val="nil"/>
              <w:left w:val="single" w:sz="7" w:space="0" w:color="000000"/>
              <w:bottom w:val="nil"/>
              <w:right w:val="nil"/>
            </w:tcBorders>
          </w:tcPr>
          <w:p w14:paraId="4FC2DAE4" w14:textId="77777777" w:rsidR="00A0457C" w:rsidRPr="00805C0F" w:rsidRDefault="00A0457C">
            <w:pPr>
              <w:spacing w:line="120" w:lineRule="exact"/>
              <w:rPr>
                <w:sz w:val="22"/>
                <w:szCs w:val="22"/>
              </w:rPr>
            </w:pPr>
          </w:p>
          <w:p w14:paraId="01544C7A" w14:textId="77777777" w:rsidR="00A0457C" w:rsidRPr="00805C0F" w:rsidRDefault="00A0457C">
            <w:pPr>
              <w:rPr>
                <w:sz w:val="22"/>
                <w:szCs w:val="22"/>
              </w:rPr>
            </w:pPr>
          </w:p>
          <w:p w14:paraId="1A068A29" w14:textId="77777777" w:rsidR="00A0457C" w:rsidRPr="00805C0F" w:rsidRDefault="00A0457C">
            <w:pPr>
              <w:rPr>
                <w:sz w:val="22"/>
                <w:szCs w:val="22"/>
              </w:rPr>
            </w:pPr>
          </w:p>
          <w:p w14:paraId="07EF1653" w14:textId="77777777" w:rsidR="00A0457C" w:rsidRPr="00805C0F" w:rsidRDefault="00A0457C">
            <w:pPr>
              <w:rPr>
                <w:sz w:val="22"/>
                <w:szCs w:val="22"/>
              </w:rPr>
            </w:pPr>
          </w:p>
          <w:p w14:paraId="7A381B71" w14:textId="77777777" w:rsidR="00A0457C" w:rsidRPr="00805C0F" w:rsidRDefault="00A0457C">
            <w:pPr>
              <w:rPr>
                <w:sz w:val="22"/>
                <w:szCs w:val="22"/>
              </w:rPr>
            </w:pPr>
          </w:p>
          <w:p w14:paraId="5581C9D4" w14:textId="77777777" w:rsidR="00A0457C" w:rsidRPr="00805C0F" w:rsidRDefault="00A0457C">
            <w:pPr>
              <w:ind w:firstLine="2880"/>
              <w:rPr>
                <w:sz w:val="22"/>
                <w:szCs w:val="22"/>
              </w:rPr>
            </w:pPr>
          </w:p>
          <w:p w14:paraId="6F28B157" w14:textId="77777777" w:rsidR="00A0457C" w:rsidRPr="00805C0F" w:rsidRDefault="00A0457C">
            <w:pPr>
              <w:ind w:firstLine="2880"/>
              <w:rPr>
                <w:sz w:val="22"/>
                <w:szCs w:val="22"/>
              </w:rPr>
            </w:pPr>
          </w:p>
          <w:p w14:paraId="072842F5" w14:textId="77777777" w:rsidR="00A0457C" w:rsidRPr="00805C0F" w:rsidRDefault="00A0457C">
            <w:pPr>
              <w:ind w:firstLine="720"/>
              <w:rPr>
                <w:sz w:val="22"/>
                <w:szCs w:val="22"/>
              </w:rPr>
            </w:pPr>
          </w:p>
          <w:p w14:paraId="2E9D574B" w14:textId="77777777" w:rsidR="00A0457C" w:rsidRPr="00805C0F" w:rsidRDefault="00A0457C">
            <w:pPr>
              <w:spacing w:after="58"/>
              <w:ind w:firstLine="2880"/>
              <w:rPr>
                <w:sz w:val="22"/>
                <w:szCs w:val="22"/>
              </w:rPr>
            </w:pPr>
          </w:p>
        </w:tc>
      </w:tr>
      <w:tr w:rsidR="00A0457C" w:rsidRPr="00805C0F" w14:paraId="65BFB188" w14:textId="77777777">
        <w:tc>
          <w:tcPr>
            <w:tcW w:w="5580" w:type="dxa"/>
            <w:tcBorders>
              <w:top w:val="single" w:sz="7" w:space="0" w:color="000000"/>
              <w:left w:val="single" w:sz="7" w:space="0" w:color="000000"/>
              <w:bottom w:val="single" w:sz="7" w:space="0" w:color="000000"/>
              <w:right w:val="single" w:sz="7" w:space="0" w:color="000000"/>
            </w:tcBorders>
          </w:tcPr>
          <w:p w14:paraId="30F373B1" w14:textId="77777777" w:rsidR="00A0457C" w:rsidRPr="00805C0F" w:rsidRDefault="00A0457C">
            <w:pPr>
              <w:spacing w:line="120" w:lineRule="exact"/>
              <w:rPr>
                <w:sz w:val="22"/>
                <w:szCs w:val="22"/>
              </w:rPr>
            </w:pPr>
          </w:p>
          <w:p w14:paraId="06AA2652" w14:textId="77777777" w:rsidR="00A0457C" w:rsidRPr="00805C0F" w:rsidRDefault="00A0457C">
            <w:pPr>
              <w:rPr>
                <w:sz w:val="22"/>
                <w:szCs w:val="22"/>
              </w:rPr>
            </w:pPr>
            <w:r w:rsidRPr="00805C0F">
              <w:rPr>
                <w:sz w:val="22"/>
                <w:szCs w:val="22"/>
              </w:rPr>
              <w:t xml:space="preserve">In Re: </w:t>
            </w:r>
          </w:p>
          <w:p w14:paraId="488CC32C" w14:textId="77777777" w:rsidR="00A0457C" w:rsidRPr="00805C0F" w:rsidRDefault="00A0457C">
            <w:pPr>
              <w:rPr>
                <w:sz w:val="22"/>
                <w:szCs w:val="22"/>
              </w:rPr>
            </w:pPr>
          </w:p>
          <w:p w14:paraId="5B284F57" w14:textId="77777777" w:rsidR="00A0457C" w:rsidRPr="00805C0F" w:rsidRDefault="00A0457C">
            <w:pPr>
              <w:rPr>
                <w:sz w:val="22"/>
                <w:szCs w:val="22"/>
              </w:rPr>
            </w:pPr>
          </w:p>
          <w:p w14:paraId="3478AD13" w14:textId="77777777" w:rsidR="00A0457C" w:rsidRPr="00805C0F" w:rsidRDefault="00A0457C">
            <w:pPr>
              <w:rPr>
                <w:sz w:val="22"/>
                <w:szCs w:val="22"/>
              </w:rPr>
            </w:pPr>
          </w:p>
          <w:p w14:paraId="14947E08" w14:textId="77777777" w:rsidR="00A0457C" w:rsidRPr="00805C0F" w:rsidRDefault="00A0457C">
            <w:pPr>
              <w:spacing w:after="58"/>
              <w:rPr>
                <w:sz w:val="22"/>
                <w:szCs w:val="22"/>
              </w:rPr>
            </w:pPr>
          </w:p>
        </w:tc>
        <w:tc>
          <w:tcPr>
            <w:tcW w:w="5220" w:type="dxa"/>
            <w:tcBorders>
              <w:top w:val="nil"/>
              <w:left w:val="single" w:sz="7" w:space="0" w:color="000000"/>
              <w:bottom w:val="nil"/>
              <w:right w:val="nil"/>
            </w:tcBorders>
          </w:tcPr>
          <w:p w14:paraId="1FB3C15D" w14:textId="77777777" w:rsidR="00A0457C" w:rsidRPr="00805C0F" w:rsidRDefault="00A0457C">
            <w:pPr>
              <w:spacing w:line="120" w:lineRule="exact"/>
              <w:rPr>
                <w:sz w:val="22"/>
                <w:szCs w:val="22"/>
              </w:rPr>
            </w:pPr>
          </w:p>
          <w:p w14:paraId="4E0DD910" w14:textId="75B180AF" w:rsidR="00A0457C" w:rsidRPr="00805C0F" w:rsidRDefault="00B265F2">
            <w:pPr>
              <w:spacing w:after="240"/>
              <w:rPr>
                <w:sz w:val="22"/>
                <w:szCs w:val="22"/>
              </w:rPr>
            </w:pPr>
            <w:r w:rsidRPr="00805C0F">
              <w:rPr>
                <w:sz w:val="22"/>
                <w:szCs w:val="22"/>
              </w:rPr>
              <w:t>Case N</w:t>
            </w:r>
            <w:r w:rsidR="00BA3064" w:rsidRPr="00805C0F">
              <w:rPr>
                <w:sz w:val="22"/>
                <w:szCs w:val="22"/>
              </w:rPr>
              <w:t>o.</w:t>
            </w:r>
            <w:r w:rsidRPr="00805C0F">
              <w:rPr>
                <w:sz w:val="22"/>
                <w:szCs w:val="22"/>
              </w:rPr>
              <w:t>:</w:t>
            </w:r>
            <w:r w:rsidR="00BA3064" w:rsidRPr="00805C0F">
              <w:rPr>
                <w:sz w:val="22"/>
                <w:szCs w:val="22"/>
              </w:rPr>
              <w:t xml:space="preserve">    </w:t>
            </w:r>
            <w:r w:rsidRPr="00805C0F">
              <w:rPr>
                <w:sz w:val="22"/>
                <w:szCs w:val="22"/>
              </w:rPr>
              <w:t xml:space="preserve">   </w:t>
            </w:r>
            <w:r w:rsidR="00BA3064" w:rsidRPr="00805C0F">
              <w:rPr>
                <w:sz w:val="22"/>
                <w:szCs w:val="22"/>
              </w:rPr>
              <w:t xml:space="preserve"> </w:t>
            </w:r>
            <w:r w:rsidRPr="00805C0F">
              <w:rPr>
                <w:sz w:val="22"/>
                <w:szCs w:val="22"/>
              </w:rPr>
              <w:t>_____________________</w:t>
            </w:r>
          </w:p>
          <w:p w14:paraId="044D1135" w14:textId="0705503A" w:rsidR="00A0457C" w:rsidRPr="00805C0F" w:rsidRDefault="00B265F2">
            <w:pPr>
              <w:spacing w:after="240"/>
              <w:rPr>
                <w:sz w:val="22"/>
                <w:szCs w:val="22"/>
              </w:rPr>
            </w:pPr>
            <w:r w:rsidRPr="00805C0F">
              <w:rPr>
                <w:sz w:val="22"/>
                <w:szCs w:val="22"/>
              </w:rPr>
              <w:t xml:space="preserve">Hearing Date:   </w:t>
            </w:r>
            <w:r w:rsidR="00BA3064" w:rsidRPr="00805C0F">
              <w:rPr>
                <w:sz w:val="22"/>
                <w:szCs w:val="22"/>
              </w:rPr>
              <w:t xml:space="preserve"> </w:t>
            </w:r>
            <w:r w:rsidRPr="00805C0F">
              <w:rPr>
                <w:sz w:val="22"/>
                <w:szCs w:val="22"/>
              </w:rPr>
              <w:t>_____________________</w:t>
            </w:r>
          </w:p>
          <w:p w14:paraId="1B99E24B" w14:textId="35A2C05F" w:rsidR="00B265F2" w:rsidRPr="00805C0F" w:rsidRDefault="00A0457C" w:rsidP="00B265F2">
            <w:pPr>
              <w:spacing w:after="240"/>
              <w:rPr>
                <w:sz w:val="22"/>
                <w:szCs w:val="22"/>
              </w:rPr>
            </w:pPr>
            <w:r w:rsidRPr="00805C0F">
              <w:rPr>
                <w:sz w:val="22"/>
                <w:szCs w:val="22"/>
              </w:rPr>
              <w:t xml:space="preserve">Judge:           </w:t>
            </w:r>
            <w:r w:rsidR="00B265F2" w:rsidRPr="00805C0F">
              <w:rPr>
                <w:sz w:val="22"/>
                <w:szCs w:val="22"/>
              </w:rPr>
              <w:t>_____________________</w:t>
            </w:r>
          </w:p>
          <w:p w14:paraId="798B0805" w14:textId="3FBACDA9" w:rsidR="00A0457C" w:rsidRPr="00805C0F" w:rsidRDefault="00B265F2" w:rsidP="00B265F2">
            <w:pPr>
              <w:spacing w:after="240"/>
              <w:rPr>
                <w:sz w:val="22"/>
                <w:szCs w:val="22"/>
              </w:rPr>
            </w:pPr>
            <w:r w:rsidRPr="00805C0F">
              <w:rPr>
                <w:sz w:val="22"/>
                <w:szCs w:val="22"/>
              </w:rPr>
              <w:t>C</w:t>
            </w:r>
            <w:r w:rsidR="00A0457C" w:rsidRPr="00805C0F">
              <w:rPr>
                <w:sz w:val="22"/>
                <w:szCs w:val="22"/>
              </w:rPr>
              <w:t xml:space="preserve">hapter:         </w:t>
            </w:r>
            <w:r w:rsidRPr="00805C0F">
              <w:rPr>
                <w:sz w:val="22"/>
                <w:szCs w:val="22"/>
              </w:rPr>
              <w:t>_____________________</w:t>
            </w:r>
          </w:p>
        </w:tc>
      </w:tr>
    </w:tbl>
    <w:p w14:paraId="060AA938" w14:textId="77777777" w:rsidR="001A4DC0" w:rsidRPr="00805C0F" w:rsidRDefault="001A4DC0">
      <w:pPr>
        <w:tabs>
          <w:tab w:val="center" w:pos="5400"/>
        </w:tabs>
        <w:rPr>
          <w:rFonts w:eastAsia="PMingLiU"/>
          <w:sz w:val="22"/>
          <w:szCs w:val="22"/>
        </w:rPr>
      </w:pPr>
    </w:p>
    <w:p w14:paraId="620A71A7" w14:textId="77777777" w:rsidR="001A4DC0" w:rsidRPr="00805C0F" w:rsidRDefault="001A4DC0">
      <w:pPr>
        <w:tabs>
          <w:tab w:val="center" w:pos="5400"/>
        </w:tabs>
        <w:rPr>
          <w:rFonts w:eastAsia="PMingLiU"/>
          <w:sz w:val="22"/>
          <w:szCs w:val="22"/>
        </w:rPr>
      </w:pPr>
    </w:p>
    <w:p w14:paraId="45B7093B" w14:textId="77777777" w:rsidR="005C4D03" w:rsidRPr="00805C0F" w:rsidRDefault="003C5AAB">
      <w:pPr>
        <w:tabs>
          <w:tab w:val="center" w:pos="5400"/>
        </w:tabs>
        <w:rPr>
          <w:rFonts w:eastAsia="PMingLiU"/>
          <w:sz w:val="22"/>
          <w:szCs w:val="22"/>
        </w:rPr>
      </w:pPr>
      <w:r w:rsidRPr="00805C0F">
        <w:rPr>
          <w:rFonts w:eastAsia="PMingLiU"/>
          <w:b/>
          <w:noProof/>
          <w:sz w:val="22"/>
          <w:szCs w:val="22"/>
        </w:rPr>
        <w:pict w14:anchorId="0B34C530">
          <v:rect id="_x0000_s1028" style="position:absolute;margin-left:56.7pt;margin-top:8.05pt;width:418.2pt;height:57pt;z-index:251659264" filled="f" strokeweight="4pt">
            <v:stroke linestyle="thinThin"/>
          </v:rect>
        </w:pict>
      </w:r>
    </w:p>
    <w:p w14:paraId="19E9F60D" w14:textId="77777777" w:rsidR="005C4D03" w:rsidRPr="00805C0F" w:rsidRDefault="005C4D03">
      <w:pPr>
        <w:tabs>
          <w:tab w:val="center" w:pos="5400"/>
        </w:tabs>
        <w:rPr>
          <w:rFonts w:eastAsia="PMingLiU"/>
          <w:b/>
          <w:sz w:val="22"/>
          <w:szCs w:val="22"/>
        </w:rPr>
      </w:pPr>
    </w:p>
    <w:p w14:paraId="3F910D7D" w14:textId="77777777" w:rsidR="005C4D03" w:rsidRPr="00805C0F" w:rsidRDefault="001A4DC0" w:rsidP="001A4DC0">
      <w:pPr>
        <w:spacing w:after="240"/>
        <w:jc w:val="center"/>
        <w:rPr>
          <w:rFonts w:eastAsia="PMingLiU"/>
          <w:sz w:val="22"/>
          <w:szCs w:val="22"/>
        </w:rPr>
      </w:pPr>
      <w:r w:rsidRPr="00805C0F">
        <w:rPr>
          <w:rFonts w:eastAsia="PMingLiU"/>
          <w:sz w:val="22"/>
          <w:szCs w:val="22"/>
        </w:rPr>
        <w:object w:dxaOrig="225" w:dyaOrig="225" w14:anchorId="027D82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37.25pt;height:18pt" o:ole="">
            <v:imagedata r:id="rId7" o:title=""/>
          </v:shape>
          <w:control r:id="rId8" w:name="Label1" w:shapeid="_x0000_i1034"/>
        </w:object>
      </w:r>
      <w:r w:rsidR="005C4D03" w:rsidRPr="00805C0F">
        <w:rPr>
          <w:rFonts w:eastAsia="PMingLiU"/>
          <w:sz w:val="22"/>
          <w:szCs w:val="22"/>
        </w:rPr>
        <w:tab/>
        <w:t xml:space="preserve">  </w:t>
      </w:r>
      <w:r w:rsidRPr="00805C0F">
        <w:rPr>
          <w:rFonts w:eastAsia="PMingLiU"/>
          <w:sz w:val="22"/>
          <w:szCs w:val="22"/>
        </w:rPr>
        <w:object w:dxaOrig="225" w:dyaOrig="225" w14:anchorId="240CED91">
          <v:shape id="_x0000_i1036" type="#_x0000_t75" style="width:68.25pt;height:21.75pt" o:ole="">
            <v:imagedata r:id="rId9" o:title=""/>
          </v:shape>
          <w:control r:id="rId10" w:name="CheckBox2" w:shapeid="_x0000_i1036"/>
        </w:object>
      </w:r>
      <w:r w:rsidR="00240AA8" w:rsidRPr="00805C0F">
        <w:rPr>
          <w:rFonts w:eastAsia="PMingLiU"/>
          <w:sz w:val="22"/>
          <w:szCs w:val="22"/>
        </w:rPr>
        <w:tab/>
      </w:r>
      <w:r w:rsidRPr="00805C0F">
        <w:rPr>
          <w:rFonts w:eastAsia="PMingLiU"/>
          <w:sz w:val="22"/>
          <w:szCs w:val="22"/>
        </w:rPr>
        <w:object w:dxaOrig="225" w:dyaOrig="225" w14:anchorId="1F029EE9">
          <v:shape id="_x0000_i1038" type="#_x0000_t75" style="width:66.75pt;height:21.75pt" o:ole="">
            <v:imagedata r:id="rId11" o:title=""/>
          </v:shape>
          <w:control r:id="rId12" w:name="CheckBox1" w:shapeid="_x0000_i1038"/>
        </w:object>
      </w:r>
      <w:r w:rsidR="00240AA8" w:rsidRPr="00805C0F">
        <w:rPr>
          <w:rFonts w:eastAsia="PMingLiU"/>
          <w:sz w:val="22"/>
          <w:szCs w:val="22"/>
        </w:rPr>
        <w:t xml:space="preserve"> </w:t>
      </w:r>
    </w:p>
    <w:p w14:paraId="3ABF5A2A" w14:textId="77777777" w:rsidR="005C4D03" w:rsidRPr="00805C0F" w:rsidRDefault="005C4D03" w:rsidP="005C4D03">
      <w:pPr>
        <w:tabs>
          <w:tab w:val="center" w:pos="5400"/>
        </w:tabs>
        <w:jc w:val="center"/>
        <w:rPr>
          <w:rFonts w:eastAsia="PMingLiU"/>
          <w:b/>
          <w:sz w:val="22"/>
          <w:szCs w:val="22"/>
        </w:rPr>
      </w:pPr>
    </w:p>
    <w:p w14:paraId="59F2CA5C" w14:textId="77777777" w:rsidR="00A0457C" w:rsidRPr="00805C0F" w:rsidRDefault="00A0457C">
      <w:pPr>
        <w:rPr>
          <w:rFonts w:eastAsia="PMingLiU"/>
          <w:sz w:val="22"/>
          <w:szCs w:val="22"/>
        </w:rPr>
      </w:pPr>
    </w:p>
    <w:p w14:paraId="7C319316" w14:textId="318BA5A0" w:rsidR="00A0457C" w:rsidRPr="00805C0F" w:rsidRDefault="00A0457C" w:rsidP="00742D22">
      <w:pPr>
        <w:spacing w:after="120"/>
        <w:ind w:left="720" w:right="720"/>
        <w:jc w:val="center"/>
        <w:rPr>
          <w:rFonts w:eastAsia="PMingLiU"/>
          <w:sz w:val="22"/>
          <w:szCs w:val="22"/>
        </w:rPr>
      </w:pPr>
      <w:r w:rsidRPr="00805C0F">
        <w:rPr>
          <w:rFonts w:eastAsia="PMingLiU"/>
          <w:b/>
          <w:bCs/>
          <w:sz w:val="22"/>
          <w:szCs w:val="22"/>
        </w:rPr>
        <w:t xml:space="preserve">ORDER </w:t>
      </w:r>
      <w:r w:rsidR="00742D22" w:rsidRPr="00805C0F">
        <w:rPr>
          <w:rFonts w:eastAsia="PMingLiU"/>
          <w:b/>
          <w:bCs/>
          <w:sz w:val="22"/>
          <w:szCs w:val="22"/>
        </w:rPr>
        <w:t>VACATING STAY</w:t>
      </w:r>
    </w:p>
    <w:p w14:paraId="14E4B49F" w14:textId="77777777" w:rsidR="00A0457C" w:rsidRPr="00805C0F" w:rsidRDefault="00A0457C">
      <w:pPr>
        <w:spacing w:after="120"/>
        <w:jc w:val="center"/>
        <w:rPr>
          <w:rFonts w:eastAsia="PMingLiU"/>
          <w:sz w:val="22"/>
          <w:szCs w:val="22"/>
        </w:rPr>
      </w:pPr>
    </w:p>
    <w:p w14:paraId="24F1F488" w14:textId="77777777" w:rsidR="00A0457C" w:rsidRPr="00805C0F" w:rsidRDefault="00A0457C">
      <w:pPr>
        <w:spacing w:after="120"/>
        <w:ind w:left="720" w:right="720"/>
        <w:rPr>
          <w:rFonts w:eastAsia="PMingLiU"/>
          <w:sz w:val="22"/>
          <w:szCs w:val="22"/>
        </w:rPr>
      </w:pPr>
      <w:r w:rsidRPr="00805C0F">
        <w:rPr>
          <w:rFonts w:eastAsia="PMingLiU"/>
          <w:sz w:val="22"/>
          <w:szCs w:val="22"/>
        </w:rPr>
        <w:t xml:space="preserve">The relief set forth on the following page is hereby </w:t>
      </w:r>
      <w:r w:rsidRPr="00805C0F">
        <w:rPr>
          <w:rFonts w:eastAsia="PMingLiU"/>
          <w:b/>
          <w:bCs/>
          <w:sz w:val="22"/>
          <w:szCs w:val="22"/>
        </w:rPr>
        <w:t>ORDERED</w:t>
      </w:r>
      <w:r w:rsidRPr="00805C0F">
        <w:rPr>
          <w:rFonts w:eastAsia="PMingLiU"/>
          <w:sz w:val="22"/>
          <w:szCs w:val="22"/>
        </w:rPr>
        <w:t>.</w:t>
      </w:r>
    </w:p>
    <w:p w14:paraId="713EC4CB" w14:textId="77777777" w:rsidR="00A0457C" w:rsidRPr="00805C0F" w:rsidRDefault="00A0457C">
      <w:pPr>
        <w:spacing w:after="120"/>
        <w:rPr>
          <w:rFonts w:eastAsia="PMingLiU"/>
          <w:sz w:val="22"/>
          <w:szCs w:val="22"/>
        </w:rPr>
      </w:pPr>
    </w:p>
    <w:p w14:paraId="10109337" w14:textId="77777777" w:rsidR="00A0457C" w:rsidRPr="00805C0F" w:rsidRDefault="00A0457C">
      <w:pPr>
        <w:spacing w:after="120"/>
        <w:rPr>
          <w:rFonts w:eastAsia="PMingLiU"/>
          <w:sz w:val="22"/>
          <w:szCs w:val="22"/>
        </w:rPr>
      </w:pPr>
    </w:p>
    <w:p w14:paraId="66EC5502" w14:textId="77777777" w:rsidR="00A0457C" w:rsidRPr="00805C0F" w:rsidRDefault="00A0457C">
      <w:pPr>
        <w:spacing w:after="120"/>
        <w:rPr>
          <w:rFonts w:eastAsia="PMingLiU"/>
          <w:sz w:val="22"/>
          <w:szCs w:val="22"/>
        </w:rPr>
      </w:pPr>
    </w:p>
    <w:p w14:paraId="13861821" w14:textId="77777777" w:rsidR="00A0457C" w:rsidRPr="00805C0F" w:rsidRDefault="00A0457C">
      <w:pPr>
        <w:spacing w:after="120"/>
        <w:rPr>
          <w:rFonts w:eastAsia="PMingLiU"/>
          <w:sz w:val="22"/>
          <w:szCs w:val="22"/>
        </w:rPr>
      </w:pPr>
    </w:p>
    <w:p w14:paraId="1A585AC5" w14:textId="77777777" w:rsidR="00A0457C" w:rsidRPr="00805C0F" w:rsidRDefault="00A0457C">
      <w:pPr>
        <w:spacing w:after="120"/>
        <w:rPr>
          <w:rFonts w:eastAsia="PMingLiU"/>
          <w:sz w:val="22"/>
          <w:szCs w:val="22"/>
        </w:rPr>
      </w:pPr>
    </w:p>
    <w:p w14:paraId="4A9EF48F" w14:textId="77777777" w:rsidR="00A0457C" w:rsidRPr="00805C0F" w:rsidRDefault="00A0457C">
      <w:pPr>
        <w:spacing w:after="120"/>
        <w:rPr>
          <w:rFonts w:eastAsia="PMingLiU"/>
          <w:sz w:val="22"/>
          <w:szCs w:val="22"/>
        </w:rPr>
      </w:pPr>
    </w:p>
    <w:p w14:paraId="4F18E63E" w14:textId="77777777" w:rsidR="00A0457C" w:rsidRPr="00805C0F" w:rsidRDefault="00A0457C">
      <w:pPr>
        <w:spacing w:after="120"/>
        <w:rPr>
          <w:rFonts w:eastAsia="PMingLiU"/>
          <w:sz w:val="22"/>
          <w:szCs w:val="22"/>
        </w:rPr>
      </w:pPr>
    </w:p>
    <w:p w14:paraId="0945BFA1" w14:textId="77777777" w:rsidR="00A0457C" w:rsidRPr="00805C0F" w:rsidRDefault="00A0457C">
      <w:pPr>
        <w:spacing w:after="120"/>
        <w:rPr>
          <w:rFonts w:eastAsia="PMingLiU"/>
          <w:sz w:val="22"/>
          <w:szCs w:val="22"/>
        </w:rPr>
      </w:pPr>
    </w:p>
    <w:p w14:paraId="53D53491" w14:textId="77777777" w:rsidR="00240AA8" w:rsidRPr="00805C0F" w:rsidRDefault="00240AA8">
      <w:pPr>
        <w:spacing w:after="120"/>
        <w:rPr>
          <w:rFonts w:eastAsia="PMingLiU"/>
          <w:sz w:val="22"/>
          <w:szCs w:val="22"/>
        </w:rPr>
      </w:pPr>
    </w:p>
    <w:p w14:paraId="354E778B" w14:textId="77777777" w:rsidR="00A0457C" w:rsidRPr="00805C0F" w:rsidRDefault="003C5AAB">
      <w:pPr>
        <w:spacing w:after="120"/>
        <w:rPr>
          <w:rFonts w:eastAsia="PMingLiU"/>
          <w:sz w:val="22"/>
          <w:szCs w:val="22"/>
        </w:rPr>
      </w:pPr>
      <w:r w:rsidRPr="00805C0F">
        <w:rPr>
          <w:noProof/>
          <w:sz w:val="22"/>
          <w:szCs w:val="22"/>
        </w:rPr>
        <w:pict w14:anchorId="429702D9">
          <v:rect id="_x0000_s1027" style="position:absolute;margin-left:.4pt;margin-top:486.7pt;width:16.05pt;height:4.35pt;z-index:-251658240;mso-position-horizontal-relative:margin;mso-position-vertical-relative:margin" o:allowincell="f" filled="f" stroked="f" strokeweight="0">
            <v:textbox inset="0,0,0,0">
              <w:txbxContent>
                <w:p w14:paraId="4C5102D4" w14:textId="77777777" w:rsidR="00A0457C" w:rsidRDefault="003C5AAB">
                  <w:r>
                    <w:pict w14:anchorId="4829A7CC">
                      <v:shape id="_x0000_i1033" type="#_x0000_t75" style="width:15.75pt;height:4.5pt">
                        <v:imagedata r:id="rId13" o:title=""/>
                      </v:shape>
                    </w:pict>
                  </w:r>
                </w:p>
              </w:txbxContent>
            </v:textbox>
            <w10:wrap anchorx="margin" anchory="margin"/>
            <w10:anchorlock/>
          </v:rect>
        </w:pict>
      </w:r>
    </w:p>
    <w:p w14:paraId="1E4CD34F" w14:textId="77777777" w:rsidR="00A0457C" w:rsidRPr="00805C0F" w:rsidRDefault="00A0457C">
      <w:pPr>
        <w:spacing w:after="120"/>
        <w:rPr>
          <w:rFonts w:eastAsia="PMingLiU"/>
          <w:sz w:val="22"/>
          <w:szCs w:val="22"/>
        </w:rPr>
      </w:pPr>
      <w:r w:rsidRPr="00805C0F">
        <w:rPr>
          <w:rFonts w:eastAsia="PMingLiU"/>
          <w:sz w:val="22"/>
          <w:szCs w:val="22"/>
        </w:rPr>
        <w:t xml:space="preserve"> </w:t>
      </w:r>
    </w:p>
    <w:p w14:paraId="04533FF1" w14:textId="77777777" w:rsidR="00A0457C" w:rsidRPr="00805C0F" w:rsidRDefault="00A0457C">
      <w:pPr>
        <w:spacing w:after="120"/>
        <w:rPr>
          <w:rFonts w:eastAsia="PMingLiU"/>
          <w:sz w:val="22"/>
          <w:szCs w:val="22"/>
        </w:rPr>
      </w:pPr>
    </w:p>
    <w:p w14:paraId="08C8A38C" w14:textId="77777777" w:rsidR="00A0457C" w:rsidRPr="00805C0F" w:rsidRDefault="00A0457C">
      <w:pPr>
        <w:spacing w:after="120"/>
        <w:rPr>
          <w:rFonts w:eastAsia="PMingLiU"/>
          <w:sz w:val="22"/>
          <w:szCs w:val="22"/>
        </w:rPr>
      </w:pPr>
    </w:p>
    <w:p w14:paraId="1436DEAB" w14:textId="77777777" w:rsidR="00A0457C" w:rsidRPr="00805C0F" w:rsidRDefault="00A0457C">
      <w:pPr>
        <w:spacing w:after="120"/>
        <w:rPr>
          <w:rFonts w:eastAsia="PMingLiU"/>
          <w:sz w:val="22"/>
          <w:szCs w:val="22"/>
        </w:rPr>
        <w:sectPr w:rsidR="00A0457C" w:rsidRPr="00805C0F">
          <w:pgSz w:w="12240" w:h="15840"/>
          <w:pgMar w:top="432" w:right="720" w:bottom="1440" w:left="720" w:header="432" w:footer="1440" w:gutter="0"/>
          <w:cols w:space="720"/>
          <w:noEndnote/>
        </w:sectPr>
      </w:pPr>
    </w:p>
    <w:p w14:paraId="6639CBD6" w14:textId="38BBE937" w:rsidR="00742D22" w:rsidRPr="00805C0F" w:rsidRDefault="00742D22" w:rsidP="00805C0F">
      <w:pPr>
        <w:tabs>
          <w:tab w:val="left" w:pos="8730"/>
          <w:tab w:val="left" w:pos="8760"/>
        </w:tabs>
        <w:spacing w:before="61" w:after="240" w:line="360" w:lineRule="auto"/>
        <w:ind w:left="100" w:right="450" w:firstLine="720"/>
        <w:rPr>
          <w:rFonts w:eastAsia="Times New Roman"/>
          <w:sz w:val="22"/>
          <w:szCs w:val="22"/>
        </w:rPr>
      </w:pPr>
      <w:r w:rsidRPr="00805C0F">
        <w:rPr>
          <w:rFonts w:eastAsia="PMingLiU"/>
          <w:sz w:val="22"/>
          <w:szCs w:val="22"/>
        </w:rPr>
        <w:lastRenderedPageBreak/>
        <w:t>Upon the motion of</w:t>
      </w:r>
      <w:r w:rsidR="00A0457C" w:rsidRPr="00805C0F">
        <w:rPr>
          <w:rFonts w:eastAsia="PMingLiU"/>
          <w:sz w:val="22"/>
          <w:szCs w:val="22"/>
        </w:rPr>
        <w:t xml:space="preserve"> _______________________</w:t>
      </w:r>
      <w:r w:rsidRPr="00805C0F">
        <w:rPr>
          <w:rFonts w:eastAsia="PMingLiU"/>
          <w:sz w:val="22"/>
          <w:szCs w:val="22"/>
        </w:rPr>
        <w:t>__________________________, under</w:t>
      </w:r>
      <w:r w:rsidR="00240AA8" w:rsidRPr="00805C0F">
        <w:rPr>
          <w:rFonts w:eastAsia="PMingLiU"/>
          <w:sz w:val="22"/>
          <w:szCs w:val="22"/>
        </w:rPr>
        <w:t xml:space="preserve"> </w:t>
      </w:r>
      <w:r w:rsidRPr="00805C0F">
        <w:rPr>
          <w:rFonts w:eastAsia="Times New Roman"/>
          <w:sz w:val="22"/>
          <w:szCs w:val="22"/>
        </w:rPr>
        <w:t>Bankruptcy Code section 362(d) for relief from</w:t>
      </w:r>
      <w:r w:rsidRPr="00805C0F">
        <w:rPr>
          <w:rFonts w:eastAsia="Times New Roman"/>
          <w:spacing w:val="-2"/>
          <w:sz w:val="22"/>
          <w:szCs w:val="22"/>
        </w:rPr>
        <w:t xml:space="preserve"> </w:t>
      </w:r>
      <w:r w:rsidRPr="00805C0F">
        <w:rPr>
          <w:rFonts w:eastAsia="Times New Roman"/>
          <w:sz w:val="22"/>
          <w:szCs w:val="22"/>
        </w:rPr>
        <w:t>the auto</w:t>
      </w:r>
      <w:r w:rsidRPr="00805C0F">
        <w:rPr>
          <w:rFonts w:eastAsia="Times New Roman"/>
          <w:spacing w:val="-2"/>
          <w:sz w:val="22"/>
          <w:szCs w:val="22"/>
        </w:rPr>
        <w:t>m</w:t>
      </w:r>
      <w:r w:rsidRPr="00805C0F">
        <w:rPr>
          <w:rFonts w:eastAsia="Times New Roman"/>
          <w:sz w:val="22"/>
          <w:szCs w:val="22"/>
        </w:rPr>
        <w:t>atic stay as to certain property as hereina</w:t>
      </w:r>
      <w:r w:rsidRPr="00805C0F">
        <w:rPr>
          <w:rFonts w:eastAsia="Times New Roman"/>
          <w:spacing w:val="-1"/>
          <w:sz w:val="22"/>
          <w:szCs w:val="22"/>
        </w:rPr>
        <w:t>f</w:t>
      </w:r>
      <w:r w:rsidRPr="00805C0F">
        <w:rPr>
          <w:rFonts w:eastAsia="Times New Roman"/>
          <w:sz w:val="22"/>
          <w:szCs w:val="22"/>
        </w:rPr>
        <w:t>t</w:t>
      </w:r>
      <w:r w:rsidRPr="00805C0F">
        <w:rPr>
          <w:rFonts w:eastAsia="Times New Roman"/>
          <w:sz w:val="22"/>
          <w:szCs w:val="22"/>
        </w:rPr>
        <w:t>er</w:t>
      </w:r>
      <w:r w:rsidRPr="00805C0F">
        <w:rPr>
          <w:rFonts w:eastAsia="Times New Roman"/>
          <w:sz w:val="22"/>
          <w:szCs w:val="22"/>
        </w:rPr>
        <w:t xml:space="preserve"> set forth, and for cause shown, it is</w:t>
      </w:r>
    </w:p>
    <w:p w14:paraId="524DAEA1" w14:textId="3B921B6C" w:rsidR="00742D22" w:rsidRPr="00805C0F" w:rsidRDefault="00742D22" w:rsidP="00805C0F">
      <w:pPr>
        <w:spacing w:after="240" w:line="360" w:lineRule="auto"/>
        <w:ind w:left="101" w:right="630" w:firstLine="720"/>
        <w:rPr>
          <w:rFonts w:eastAsia="Times New Roman"/>
          <w:sz w:val="22"/>
          <w:szCs w:val="22"/>
        </w:rPr>
      </w:pPr>
      <w:r w:rsidRPr="00805C0F">
        <w:rPr>
          <w:rFonts w:eastAsia="Times New Roman"/>
          <w:sz w:val="22"/>
          <w:szCs w:val="22"/>
        </w:rPr>
        <w:t>ORDERED that the auto</w:t>
      </w:r>
      <w:r w:rsidRPr="00805C0F">
        <w:rPr>
          <w:rFonts w:eastAsia="Times New Roman"/>
          <w:spacing w:val="-2"/>
          <w:sz w:val="22"/>
          <w:szCs w:val="22"/>
        </w:rPr>
        <w:t>m</w:t>
      </w:r>
      <w:r w:rsidRPr="00805C0F">
        <w:rPr>
          <w:rFonts w:eastAsia="Times New Roman"/>
          <w:sz w:val="22"/>
          <w:szCs w:val="22"/>
        </w:rPr>
        <w:t>atic stay is vacated to per</w:t>
      </w:r>
      <w:r w:rsidRPr="00805C0F">
        <w:rPr>
          <w:rFonts w:eastAsia="Times New Roman"/>
          <w:spacing w:val="-2"/>
          <w:sz w:val="22"/>
          <w:szCs w:val="22"/>
        </w:rPr>
        <w:t>m</w:t>
      </w:r>
      <w:r w:rsidRPr="00805C0F">
        <w:rPr>
          <w:rFonts w:eastAsia="Times New Roman"/>
          <w:sz w:val="22"/>
          <w:szCs w:val="22"/>
        </w:rPr>
        <w:t xml:space="preserve">it the </w:t>
      </w:r>
      <w:r w:rsidRPr="00805C0F">
        <w:rPr>
          <w:rFonts w:eastAsia="Times New Roman"/>
          <w:spacing w:val="-2"/>
          <w:sz w:val="22"/>
          <w:szCs w:val="22"/>
        </w:rPr>
        <w:t>m</w:t>
      </w:r>
      <w:r w:rsidRPr="00805C0F">
        <w:rPr>
          <w:rFonts w:eastAsia="Times New Roman"/>
          <w:sz w:val="22"/>
          <w:szCs w:val="22"/>
        </w:rPr>
        <w:t xml:space="preserve">ovant to institute or </w:t>
      </w:r>
      <w:r w:rsidR="00FA5053" w:rsidRPr="00805C0F">
        <w:rPr>
          <w:rFonts w:eastAsia="Times New Roman"/>
          <w:sz w:val="22"/>
          <w:szCs w:val="22"/>
        </w:rPr>
        <w:t>r</w:t>
      </w:r>
      <w:r w:rsidRPr="00805C0F">
        <w:rPr>
          <w:rFonts w:eastAsia="Times New Roman"/>
          <w:sz w:val="22"/>
          <w:szCs w:val="22"/>
        </w:rPr>
        <w:t>esu</w:t>
      </w:r>
      <w:r w:rsidRPr="00805C0F">
        <w:rPr>
          <w:rFonts w:eastAsia="Times New Roman"/>
          <w:spacing w:val="-2"/>
          <w:sz w:val="22"/>
          <w:szCs w:val="22"/>
        </w:rPr>
        <w:t>m</w:t>
      </w:r>
      <w:r w:rsidRPr="00805C0F">
        <w:rPr>
          <w:rFonts w:eastAsia="Times New Roman"/>
          <w:sz w:val="22"/>
          <w:szCs w:val="22"/>
        </w:rPr>
        <w:t xml:space="preserve">e and prosecute to conclusion one or </w:t>
      </w:r>
      <w:r w:rsidRPr="00805C0F">
        <w:rPr>
          <w:rFonts w:eastAsia="Times New Roman"/>
          <w:spacing w:val="-2"/>
          <w:sz w:val="22"/>
          <w:szCs w:val="22"/>
        </w:rPr>
        <w:t>m</w:t>
      </w:r>
      <w:r w:rsidRPr="00805C0F">
        <w:rPr>
          <w:rFonts w:eastAsia="Times New Roman"/>
          <w:sz w:val="22"/>
          <w:szCs w:val="22"/>
        </w:rPr>
        <w:t xml:space="preserve">ore actions in the court(s) of appropriate jurisdiction to pursue the </w:t>
      </w:r>
      <w:r w:rsidRPr="00805C0F">
        <w:rPr>
          <w:rFonts w:eastAsia="Times New Roman"/>
          <w:spacing w:val="-2"/>
          <w:sz w:val="22"/>
          <w:szCs w:val="22"/>
        </w:rPr>
        <w:t>m</w:t>
      </w:r>
      <w:r w:rsidRPr="00805C0F">
        <w:rPr>
          <w:rFonts w:eastAsia="Times New Roman"/>
          <w:sz w:val="22"/>
          <w:szCs w:val="22"/>
        </w:rPr>
        <w:t>ovant’s rights in the following:</w:t>
      </w:r>
    </w:p>
    <w:p w14:paraId="3A1845A8" w14:textId="69532530" w:rsidR="00742D22" w:rsidRPr="00805C0F" w:rsidRDefault="00742D22" w:rsidP="00C44663">
      <w:pPr>
        <w:tabs>
          <w:tab w:val="left" w:pos="1540"/>
        </w:tabs>
        <w:spacing w:after="120" w:line="360" w:lineRule="auto"/>
        <w:ind w:left="821" w:right="-20"/>
        <w:rPr>
          <w:rFonts w:eastAsia="Times New Roman"/>
          <w:sz w:val="22"/>
          <w:szCs w:val="22"/>
        </w:rPr>
      </w:pPr>
      <w:r w:rsidRPr="00805C0F">
        <w:rPr>
          <w:rFonts w:ascii="MS Gothic" w:eastAsia="MS Gothic" w:hAnsi="MS Gothic" w:hint="eastAsia"/>
          <w:sz w:val="22"/>
          <w:szCs w:val="22"/>
        </w:rPr>
        <w:t>☐</w:t>
      </w:r>
      <w:r w:rsidRPr="00805C0F">
        <w:rPr>
          <w:rFonts w:eastAsia="Times New Roman"/>
          <w:sz w:val="22"/>
          <w:szCs w:val="22"/>
        </w:rPr>
        <w:t xml:space="preserve"> Real property </w:t>
      </w:r>
      <w:r w:rsidRPr="00805C0F">
        <w:rPr>
          <w:rFonts w:eastAsia="Times New Roman"/>
          <w:spacing w:val="-2"/>
          <w:sz w:val="22"/>
          <w:szCs w:val="22"/>
        </w:rPr>
        <w:t>m</w:t>
      </w:r>
      <w:r w:rsidRPr="00805C0F">
        <w:rPr>
          <w:rFonts w:eastAsia="Times New Roman"/>
          <w:sz w:val="22"/>
          <w:szCs w:val="22"/>
        </w:rPr>
        <w:t>ore fully described as:</w:t>
      </w:r>
    </w:p>
    <w:p w14:paraId="2D99E1BE" w14:textId="032B098F" w:rsidR="00742D22" w:rsidRPr="00805C0F" w:rsidRDefault="00742D22" w:rsidP="00742D22">
      <w:pPr>
        <w:tabs>
          <w:tab w:val="left" w:pos="1540"/>
        </w:tabs>
        <w:spacing w:after="120" w:line="360" w:lineRule="auto"/>
        <w:ind w:right="-20"/>
        <w:rPr>
          <w:rFonts w:eastAsia="Times New Roman"/>
          <w:sz w:val="22"/>
          <w:szCs w:val="22"/>
        </w:rPr>
      </w:pPr>
    </w:p>
    <w:p w14:paraId="251A563E" w14:textId="77777777" w:rsidR="00C44663" w:rsidRPr="00805C0F" w:rsidRDefault="00C44663" w:rsidP="00742D22">
      <w:pPr>
        <w:tabs>
          <w:tab w:val="left" w:pos="1540"/>
        </w:tabs>
        <w:spacing w:after="120" w:line="360" w:lineRule="auto"/>
        <w:ind w:right="-20"/>
        <w:rPr>
          <w:rFonts w:eastAsia="Times New Roman"/>
          <w:sz w:val="22"/>
          <w:szCs w:val="22"/>
        </w:rPr>
      </w:pPr>
    </w:p>
    <w:p w14:paraId="47B97C3C" w14:textId="342A5967" w:rsidR="00742D22" w:rsidRPr="00805C0F" w:rsidRDefault="00742D22" w:rsidP="003C453E">
      <w:pPr>
        <w:widowControl/>
        <w:spacing w:after="240" w:line="360" w:lineRule="auto"/>
        <w:ind w:right="540"/>
        <w:rPr>
          <w:rFonts w:eastAsia="Times New Roman"/>
          <w:sz w:val="22"/>
          <w:szCs w:val="22"/>
        </w:rPr>
      </w:pPr>
      <w:r w:rsidRPr="00805C0F">
        <w:rPr>
          <w:sz w:val="22"/>
          <w:szCs w:val="22"/>
        </w:rPr>
        <w:tab/>
      </w:r>
      <w:r w:rsidRPr="00805C0F">
        <w:rPr>
          <w:sz w:val="22"/>
          <w:szCs w:val="22"/>
        </w:rPr>
        <w:t>It is further ORDERED that the movant, its successors or assignees, may proceed with its rights and remedies under the terms of the subject mortgage and pursue its state court remedies including, but not limited to, taking the property to sheriff’s sale, in addition to potentially pursuing other loss mitigation alternatives, including, but not limited to, a loan modification, short sale or deed-in-lieu foreclosure.</w:t>
      </w:r>
      <w:r w:rsidR="009057A4">
        <w:rPr>
          <w:sz w:val="22"/>
          <w:szCs w:val="22"/>
        </w:rPr>
        <w:t xml:space="preserve"> </w:t>
      </w:r>
      <w:r w:rsidRPr="00805C0F">
        <w:rPr>
          <w:sz w:val="22"/>
          <w:szCs w:val="22"/>
        </w:rPr>
        <w:t xml:space="preserve"> Additionally, any purchaser of the property at sheriff’s sale (or purchaser’s assignee) may take any legal action for enforcement of its right to possession of the property.</w:t>
      </w:r>
    </w:p>
    <w:p w14:paraId="31DFDB9F" w14:textId="0BE7AB64" w:rsidR="00742D22" w:rsidRPr="00805C0F" w:rsidRDefault="00742D22" w:rsidP="00742D22">
      <w:pPr>
        <w:tabs>
          <w:tab w:val="left" w:pos="1540"/>
        </w:tabs>
        <w:spacing w:after="120" w:line="360" w:lineRule="auto"/>
        <w:ind w:left="820" w:right="-20"/>
        <w:rPr>
          <w:rFonts w:eastAsia="Times New Roman"/>
          <w:sz w:val="22"/>
          <w:szCs w:val="22"/>
        </w:rPr>
      </w:pPr>
      <w:r w:rsidRPr="00805C0F">
        <w:rPr>
          <w:rFonts w:ascii="MS Gothic" w:eastAsia="MS Gothic" w:hAnsi="MS Gothic" w:hint="eastAsia"/>
          <w:sz w:val="22"/>
          <w:szCs w:val="22"/>
        </w:rPr>
        <w:t>☐</w:t>
      </w:r>
      <w:r w:rsidRPr="00805C0F">
        <w:rPr>
          <w:rFonts w:eastAsia="Times New Roman"/>
          <w:sz w:val="22"/>
          <w:szCs w:val="22"/>
        </w:rPr>
        <w:t xml:space="preserve"> Personal property </w:t>
      </w:r>
      <w:r w:rsidRPr="00805C0F">
        <w:rPr>
          <w:rFonts w:eastAsia="Times New Roman"/>
          <w:spacing w:val="-2"/>
          <w:sz w:val="22"/>
          <w:szCs w:val="22"/>
        </w:rPr>
        <w:t>m</w:t>
      </w:r>
      <w:r w:rsidRPr="00805C0F">
        <w:rPr>
          <w:rFonts w:eastAsia="Times New Roman"/>
          <w:sz w:val="22"/>
          <w:szCs w:val="22"/>
        </w:rPr>
        <w:t>ore fully described as:</w:t>
      </w:r>
    </w:p>
    <w:p w14:paraId="601547F1" w14:textId="7E6B5134" w:rsidR="00742D22" w:rsidRPr="00805C0F" w:rsidRDefault="00742D22" w:rsidP="00742D22">
      <w:pPr>
        <w:tabs>
          <w:tab w:val="left" w:pos="1540"/>
        </w:tabs>
        <w:spacing w:after="120" w:line="360" w:lineRule="auto"/>
        <w:ind w:right="-20"/>
        <w:rPr>
          <w:rFonts w:eastAsia="Times New Roman"/>
          <w:sz w:val="22"/>
          <w:szCs w:val="22"/>
        </w:rPr>
      </w:pPr>
    </w:p>
    <w:p w14:paraId="76173013" w14:textId="729C303A" w:rsidR="00C44663" w:rsidRPr="00805C0F" w:rsidRDefault="00C44663" w:rsidP="00742D22">
      <w:pPr>
        <w:tabs>
          <w:tab w:val="left" w:pos="1540"/>
        </w:tabs>
        <w:spacing w:after="120" w:line="360" w:lineRule="auto"/>
        <w:ind w:right="-20"/>
        <w:rPr>
          <w:rFonts w:eastAsia="Times New Roman"/>
          <w:sz w:val="22"/>
          <w:szCs w:val="22"/>
        </w:rPr>
      </w:pPr>
    </w:p>
    <w:p w14:paraId="0AED5316" w14:textId="77777777" w:rsidR="00C44663" w:rsidRPr="00805C0F" w:rsidRDefault="00C44663" w:rsidP="009057A4">
      <w:pPr>
        <w:spacing w:after="240" w:line="360" w:lineRule="auto"/>
        <w:ind w:left="100" w:right="450" w:firstLine="720"/>
        <w:rPr>
          <w:rFonts w:eastAsia="Times New Roman"/>
          <w:sz w:val="22"/>
          <w:szCs w:val="22"/>
        </w:rPr>
      </w:pPr>
      <w:r w:rsidRPr="00805C0F">
        <w:rPr>
          <w:rFonts w:eastAsia="Times New Roman"/>
          <w:sz w:val="22"/>
          <w:szCs w:val="22"/>
        </w:rPr>
        <w:t xml:space="preserve">It is further ORDERED that the </w:t>
      </w:r>
      <w:r w:rsidRPr="00805C0F">
        <w:rPr>
          <w:rFonts w:eastAsia="Times New Roman"/>
          <w:spacing w:val="-2"/>
          <w:sz w:val="22"/>
          <w:szCs w:val="22"/>
        </w:rPr>
        <w:t>m</w:t>
      </w:r>
      <w:r w:rsidRPr="00805C0F">
        <w:rPr>
          <w:rFonts w:eastAsia="Times New Roman"/>
          <w:sz w:val="22"/>
          <w:szCs w:val="22"/>
        </w:rPr>
        <w:t xml:space="preserve">ovant </w:t>
      </w:r>
      <w:r w:rsidRPr="00805C0F">
        <w:rPr>
          <w:rFonts w:eastAsia="Times New Roman"/>
          <w:spacing w:val="-2"/>
          <w:sz w:val="22"/>
          <w:szCs w:val="22"/>
        </w:rPr>
        <w:t>m</w:t>
      </w:r>
      <w:r w:rsidRPr="00805C0F">
        <w:rPr>
          <w:rFonts w:eastAsia="Times New Roman"/>
          <w:sz w:val="22"/>
          <w:szCs w:val="22"/>
        </w:rPr>
        <w:t>ay join the debtor and any trustee appointed in this case as defendants in its action(s) irrespective of any conversion to any other chapter of the Bankruptcy Code.</w:t>
      </w:r>
    </w:p>
    <w:p w14:paraId="4D991994" w14:textId="77777777" w:rsidR="00C44663" w:rsidRPr="00805C0F" w:rsidRDefault="00C44663" w:rsidP="009057A4">
      <w:pPr>
        <w:tabs>
          <w:tab w:val="left" w:pos="8280"/>
        </w:tabs>
        <w:spacing w:after="240" w:line="360" w:lineRule="auto"/>
        <w:ind w:left="100" w:right="540" w:firstLine="720"/>
        <w:rPr>
          <w:rFonts w:eastAsia="Times New Roman"/>
          <w:sz w:val="22"/>
          <w:szCs w:val="22"/>
        </w:rPr>
      </w:pPr>
      <w:r w:rsidRPr="00805C0F">
        <w:rPr>
          <w:rFonts w:eastAsia="Times New Roman"/>
          <w:sz w:val="22"/>
          <w:szCs w:val="22"/>
        </w:rPr>
        <w:t xml:space="preserve">The </w:t>
      </w:r>
      <w:r w:rsidRPr="00805C0F">
        <w:rPr>
          <w:rFonts w:eastAsia="Times New Roman"/>
          <w:spacing w:val="-2"/>
          <w:sz w:val="22"/>
          <w:szCs w:val="22"/>
        </w:rPr>
        <w:t>m</w:t>
      </w:r>
      <w:r w:rsidRPr="00805C0F">
        <w:rPr>
          <w:rFonts w:eastAsia="Times New Roman"/>
          <w:sz w:val="22"/>
          <w:szCs w:val="22"/>
        </w:rPr>
        <w:t xml:space="preserve">ovant shall serve this order on the debtor, any trustee and any other party who entered an appearance on the </w:t>
      </w:r>
      <w:r w:rsidRPr="00805C0F">
        <w:rPr>
          <w:rFonts w:eastAsia="Times New Roman"/>
          <w:spacing w:val="-2"/>
          <w:sz w:val="22"/>
          <w:szCs w:val="22"/>
        </w:rPr>
        <w:t>m</w:t>
      </w:r>
      <w:r w:rsidRPr="00805C0F">
        <w:rPr>
          <w:rFonts w:eastAsia="Times New Roman"/>
          <w:sz w:val="22"/>
          <w:szCs w:val="22"/>
        </w:rPr>
        <w:t>otion.</w:t>
      </w:r>
    </w:p>
    <w:p w14:paraId="05773183" w14:textId="77777777" w:rsidR="00C44663" w:rsidRPr="00805C0F" w:rsidRDefault="00C44663" w:rsidP="00C44663">
      <w:pPr>
        <w:spacing w:after="240" w:line="360" w:lineRule="auto"/>
        <w:ind w:left="100" w:right="596" w:firstLine="720"/>
        <w:rPr>
          <w:rFonts w:eastAsia="Times New Roman"/>
          <w:sz w:val="22"/>
          <w:szCs w:val="22"/>
        </w:rPr>
      </w:pPr>
    </w:p>
    <w:p w14:paraId="50245DCE" w14:textId="055B8BA1" w:rsidR="00A0457C" w:rsidRPr="00805C0F" w:rsidRDefault="00C44663" w:rsidP="009057A4">
      <w:pPr>
        <w:spacing w:line="360" w:lineRule="auto"/>
        <w:ind w:left="100" w:right="596" w:firstLine="720"/>
        <w:jc w:val="right"/>
        <w:rPr>
          <w:rFonts w:eastAsia="PMingLiU"/>
          <w:sz w:val="22"/>
          <w:szCs w:val="22"/>
        </w:rPr>
      </w:pPr>
      <w:r w:rsidRPr="00805C0F">
        <w:rPr>
          <w:rFonts w:eastAsia="Times New Roman"/>
          <w:color w:val="FF0000"/>
          <w:sz w:val="22"/>
          <w:szCs w:val="22"/>
        </w:rPr>
        <w:tab/>
      </w:r>
      <w:r w:rsidRPr="00805C0F">
        <w:rPr>
          <w:rFonts w:eastAsia="Times New Roman"/>
          <w:color w:val="FF0000"/>
          <w:sz w:val="22"/>
          <w:szCs w:val="22"/>
        </w:rPr>
        <w:tab/>
      </w:r>
      <w:r w:rsidRPr="00805C0F">
        <w:rPr>
          <w:rFonts w:eastAsia="Times New Roman"/>
          <w:i/>
          <w:sz w:val="22"/>
          <w:szCs w:val="22"/>
        </w:rPr>
        <w:tab/>
      </w:r>
      <w:r w:rsidRPr="00805C0F">
        <w:rPr>
          <w:rFonts w:eastAsia="Times New Roman"/>
          <w:i/>
          <w:sz w:val="22"/>
          <w:szCs w:val="22"/>
        </w:rPr>
        <w:tab/>
      </w:r>
      <w:r w:rsidRPr="009057A4">
        <w:rPr>
          <w:rFonts w:eastAsia="Times New Roman"/>
          <w:i/>
          <w:sz w:val="16"/>
          <w:szCs w:val="16"/>
        </w:rPr>
        <w:tab/>
      </w:r>
      <w:bookmarkStart w:id="1" w:name="_GoBack"/>
      <w:bookmarkEnd w:id="1"/>
      <w:r w:rsidRPr="009057A4">
        <w:rPr>
          <w:rFonts w:eastAsia="Times New Roman"/>
          <w:i/>
          <w:sz w:val="16"/>
          <w:szCs w:val="16"/>
        </w:rPr>
        <w:t>rev.</w:t>
      </w:r>
      <w:r w:rsidRPr="009057A4">
        <w:rPr>
          <w:rFonts w:eastAsia="Times New Roman"/>
          <w:i/>
          <w:spacing w:val="-2"/>
          <w:sz w:val="16"/>
          <w:szCs w:val="16"/>
        </w:rPr>
        <w:t xml:space="preserve"> 11</w:t>
      </w:r>
      <w:r w:rsidRPr="009057A4">
        <w:rPr>
          <w:rFonts w:eastAsia="Times New Roman"/>
          <w:i/>
          <w:sz w:val="16"/>
          <w:szCs w:val="16"/>
        </w:rPr>
        <w:t>/14/18</w:t>
      </w:r>
      <w:r w:rsidR="00240AA8" w:rsidRPr="00805C0F">
        <w:rPr>
          <w:i/>
          <w:iCs/>
          <w:sz w:val="22"/>
          <w:szCs w:val="22"/>
        </w:rPr>
        <w:t xml:space="preserve"> </w:t>
      </w:r>
    </w:p>
    <w:sectPr w:rsidR="00A0457C" w:rsidRPr="00805C0F" w:rsidSect="00A0457C">
      <w:footerReference w:type="default" r:id="rId14"/>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EC4689" w14:textId="77777777" w:rsidR="00A0457C" w:rsidRDefault="00A0457C" w:rsidP="00A0457C">
      <w:r>
        <w:separator/>
      </w:r>
    </w:p>
  </w:endnote>
  <w:endnote w:type="continuationSeparator" w:id="0">
    <w:p w14:paraId="52BB18BA" w14:textId="77777777" w:rsidR="00A0457C" w:rsidRDefault="00A0457C" w:rsidP="00A045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941F7A" w14:textId="77777777" w:rsidR="00A0457C" w:rsidRDefault="00A0457C">
    <w:pPr>
      <w:spacing w:line="240" w:lineRule="exact"/>
    </w:pPr>
  </w:p>
  <w:p w14:paraId="2A883967" w14:textId="77777777" w:rsidR="00A0457C" w:rsidRDefault="00A0457C">
    <w:pPr>
      <w:framePr w:w="9361" w:wrap="notBeside" w:vAnchor="text" w:hAnchor="text" w:x="1" w:y="1"/>
      <w:jc w:val="center"/>
    </w:pPr>
    <w:r>
      <w:fldChar w:fldCharType="begin"/>
    </w:r>
    <w:r>
      <w:instrText xml:space="preserve">PAGE </w:instrText>
    </w:r>
    <w:r>
      <w:fldChar w:fldCharType="separate"/>
    </w:r>
    <w:r w:rsidR="004610E8">
      <w:rPr>
        <w:noProof/>
      </w:rPr>
      <w:t>3</w:t>
    </w:r>
    <w:r>
      <w:fldChar w:fldCharType="end"/>
    </w:r>
  </w:p>
  <w:p w14:paraId="470EF318" w14:textId="77777777" w:rsidR="00A0457C" w:rsidRDefault="00A0457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E5A412" w14:textId="77777777" w:rsidR="00A0457C" w:rsidRDefault="00A0457C" w:rsidP="00A0457C">
      <w:r>
        <w:separator/>
      </w:r>
    </w:p>
  </w:footnote>
  <w:footnote w:type="continuationSeparator" w:id="0">
    <w:p w14:paraId="4AF8D7CF" w14:textId="77777777" w:rsidR="00A0457C" w:rsidRDefault="00A0457C" w:rsidP="00A045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A34C4278"/>
    <w:lvl w:ilvl="0">
      <w:numFmt w:val="bullet"/>
      <w:lvlText w:val="*"/>
      <w:lvlJc w:val="left"/>
    </w:lvl>
  </w:abstractNum>
  <w:abstractNum w:abstractNumId="1" w15:restartNumberingAfterBreak="0">
    <w:nsid w:val="00000001"/>
    <w:multiLevelType w:val="multilevel"/>
    <w:tmpl w:val="00000000"/>
    <w:name w:val="è"/>
    <w:lvl w:ilvl="0">
      <w:start w:val="1"/>
      <w:numFmt w:val="decimal"/>
      <w:lvlText w:val="q"/>
      <w:lvlJc w:val="left"/>
    </w:lvl>
    <w:lvl w:ilvl="1">
      <w:start w:val="1"/>
      <w:numFmt w:val="decimal"/>
      <w:lvlText w:val="q"/>
      <w:lvlJc w:val="left"/>
    </w:lvl>
    <w:lvl w:ilvl="2">
      <w:start w:val="1"/>
      <w:numFmt w:val="decimal"/>
      <w:lvlText w:val="q"/>
      <w:lvlJc w:val="left"/>
    </w:lvl>
    <w:lvl w:ilvl="3">
      <w:start w:val="1"/>
      <w:numFmt w:val="decimal"/>
      <w:lvlText w:val="q"/>
      <w:lvlJc w:val="left"/>
    </w:lvl>
    <w:lvl w:ilvl="4">
      <w:start w:val="1"/>
      <w:numFmt w:val="decimal"/>
      <w:lvlText w:val="q"/>
      <w:lvlJc w:val="left"/>
    </w:lvl>
    <w:lvl w:ilvl="5">
      <w:start w:val="1"/>
      <w:numFmt w:val="decimal"/>
      <w:lvlText w:val="q"/>
      <w:lvlJc w:val="left"/>
    </w:lvl>
    <w:lvl w:ilvl="6">
      <w:start w:val="1"/>
      <w:numFmt w:val="decimal"/>
      <w:lvlText w:val="q"/>
      <w:lvlJc w:val="left"/>
    </w:lvl>
    <w:lvl w:ilvl="7">
      <w:start w:val="1"/>
      <w:numFmt w:val="decimal"/>
      <w:lvlText w:val="q"/>
      <w:lvlJc w:val="left"/>
    </w:lvl>
    <w:lvl w:ilvl="8">
      <w:numFmt w:val="decimal"/>
      <w:lvlText w:val=""/>
      <w:lvlJc w:val="left"/>
    </w:lvl>
  </w:abstractNum>
  <w:abstractNum w:abstractNumId="2" w15:restartNumberingAfterBreak="0">
    <w:nsid w:val="00000002"/>
    <w:multiLevelType w:val="multilevel"/>
    <w:tmpl w:val="00000000"/>
    <w:name w:val="è"/>
    <w:lvl w:ilvl="0">
      <w:start w:val="1"/>
      <w:numFmt w:val="decimal"/>
      <w:lvlText w:val="q"/>
      <w:lvlJc w:val="left"/>
    </w:lvl>
    <w:lvl w:ilvl="1">
      <w:start w:val="1"/>
      <w:numFmt w:val="decimal"/>
      <w:lvlText w:val="q"/>
      <w:lvlJc w:val="left"/>
    </w:lvl>
    <w:lvl w:ilvl="2">
      <w:start w:val="1"/>
      <w:numFmt w:val="decimal"/>
      <w:lvlText w:val="q"/>
      <w:lvlJc w:val="left"/>
    </w:lvl>
    <w:lvl w:ilvl="3">
      <w:start w:val="1"/>
      <w:numFmt w:val="decimal"/>
      <w:lvlText w:val="q"/>
      <w:lvlJc w:val="left"/>
    </w:lvl>
    <w:lvl w:ilvl="4">
      <w:start w:val="1"/>
      <w:numFmt w:val="decimal"/>
      <w:lvlText w:val="q"/>
      <w:lvlJc w:val="left"/>
    </w:lvl>
    <w:lvl w:ilvl="5">
      <w:start w:val="1"/>
      <w:numFmt w:val="decimal"/>
      <w:lvlText w:val="q"/>
      <w:lvlJc w:val="left"/>
    </w:lvl>
    <w:lvl w:ilvl="6">
      <w:start w:val="1"/>
      <w:numFmt w:val="decimal"/>
      <w:lvlText w:val="q"/>
      <w:lvlJc w:val="left"/>
    </w:lvl>
    <w:lvl w:ilvl="7">
      <w:start w:val="1"/>
      <w:numFmt w:val="decimal"/>
      <w:lvlText w:val="q"/>
      <w:lvlJc w:val="left"/>
    </w:lvl>
    <w:lvl w:ilvl="8">
      <w:numFmt w:val="decimal"/>
      <w:lvlText w:val=""/>
      <w:lvlJc w:val="left"/>
    </w:lvl>
  </w:abstractNum>
  <w:num w:numId="1">
    <w:abstractNumId w:val="0"/>
    <w:lvlOverride w:ilvl="0">
      <w:lvl w:ilvl="0">
        <w:numFmt w:val="bullet"/>
        <w:lvlText w:val=""/>
        <w:legacy w:legacy="1" w:legacySpace="0" w:legacyIndent="720"/>
        <w:lvlJc w:val="left"/>
        <w:pPr>
          <w:ind w:left="1440" w:hanging="720"/>
        </w:pPr>
        <w:rPr>
          <w:rFonts w:ascii="Wingdings" w:hAnsi="Wingding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A0457C"/>
    <w:rsid w:val="001A4DC0"/>
    <w:rsid w:val="00240AA8"/>
    <w:rsid w:val="003C453E"/>
    <w:rsid w:val="003C5AAB"/>
    <w:rsid w:val="004610E8"/>
    <w:rsid w:val="005C4D03"/>
    <w:rsid w:val="00742D22"/>
    <w:rsid w:val="00805C0F"/>
    <w:rsid w:val="009057A4"/>
    <w:rsid w:val="00A0457C"/>
    <w:rsid w:val="00B265F2"/>
    <w:rsid w:val="00BA3064"/>
    <w:rsid w:val="00C44663"/>
    <w:rsid w:val="00DB59AA"/>
    <w:rsid w:val="00FA50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5"/>
    <o:shapelayout v:ext="edit">
      <o:idmap v:ext="edit" data="1"/>
    </o:shapelayout>
  </w:shapeDefaults>
  <w:decimalSymbol w:val="."/>
  <w:listSeparator w:val=","/>
  <w14:docId w14:val="6DD55A13"/>
  <w14:defaultImageDpi w14:val="0"/>
  <w15:docId w15:val="{56A3ACD7-6C20-43ED-B55B-CA335A3F7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Level1">
    <w:name w:val="Level 1"/>
    <w:basedOn w:val="Normal"/>
    <w:uiPriority w:val="99"/>
    <w:pPr>
      <w:ind w:left="144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image" Target="media/image4.wmf"/><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control" Target="activeX/activeX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control" Target="activeX/activeX2.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footer" Target="foot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978C9E23-D4B0-11CE-BF2D-00AA003F40D0}"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2</Pages>
  <Words>293</Words>
  <Characters>1675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Lisa Davis</cp:lastModifiedBy>
  <cp:revision>3</cp:revision>
  <cp:lastPrinted>2018-11-29T19:15:00Z</cp:lastPrinted>
  <dcterms:created xsi:type="dcterms:W3CDTF">2018-11-29T18:51:00Z</dcterms:created>
  <dcterms:modified xsi:type="dcterms:W3CDTF">2018-11-29T20:04:00Z</dcterms:modified>
</cp:coreProperties>
</file>